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1C" w:rsidRDefault="00630C1C" w:rsidP="00630C1C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  <w:lang w:eastAsia="en-US"/>
        </w:rPr>
      </w:pPr>
      <w:r>
        <w:rPr>
          <w:bCs/>
          <w:lang w:eastAsia="en-US"/>
        </w:rPr>
        <w:t>Аннотация</w:t>
      </w:r>
      <w:r>
        <w:rPr>
          <w:bCs/>
          <w:spacing w:val="56"/>
          <w:lang w:eastAsia="en-US"/>
        </w:rPr>
        <w:t xml:space="preserve"> </w:t>
      </w:r>
      <w:r>
        <w:rPr>
          <w:bCs/>
          <w:lang w:eastAsia="en-US"/>
        </w:rPr>
        <w:t>к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рабочей программе</w:t>
      </w:r>
      <w:r>
        <w:rPr>
          <w:bCs/>
          <w:spacing w:val="3"/>
          <w:lang w:eastAsia="en-US"/>
        </w:rPr>
        <w:t xml:space="preserve"> </w:t>
      </w:r>
      <w:r>
        <w:rPr>
          <w:bCs/>
          <w:lang w:eastAsia="en-US"/>
        </w:rPr>
        <w:t>учебного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предмета</w:t>
      </w:r>
      <w:r>
        <w:rPr>
          <w:bCs/>
          <w:spacing w:val="57"/>
          <w:lang w:eastAsia="en-US"/>
        </w:rPr>
        <w:t xml:space="preserve"> </w:t>
      </w:r>
      <w:r>
        <w:rPr>
          <w:b/>
          <w:bCs/>
          <w:lang w:eastAsia="en-US"/>
        </w:rPr>
        <w:t>«Математика»</w:t>
      </w:r>
    </w:p>
    <w:tbl>
      <w:tblPr>
        <w:tblStyle w:val="11"/>
        <w:tblW w:w="14879" w:type="dxa"/>
        <w:tblInd w:w="0" w:type="dxa"/>
        <w:tblLook w:val="04A0" w:firstRow="1" w:lastRow="0" w:firstColumn="1" w:lastColumn="0" w:noHBand="0" w:noVBand="1"/>
      </w:tblPr>
      <w:tblGrid>
        <w:gridCol w:w="3256"/>
        <w:gridCol w:w="11623"/>
      </w:tblGrid>
      <w:tr w:rsidR="00630C1C" w:rsidTr="00630C1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  <w:r>
              <w:rPr>
                <w:rFonts w:eastAsia="Calibri"/>
                <w:spacing w:val="-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предмета/курса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</w:tr>
      <w:tr w:rsidR="00630C1C" w:rsidTr="00630C1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630C1C" w:rsidTr="00630C1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часов (общее, по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классам)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ind w:left="426" w:firstLine="141"/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редмет «Математика» является частью предметной области «Математика», относится к обязательной части учебного плана.</w:t>
            </w:r>
          </w:p>
          <w:p w:rsidR="00630C1C" w:rsidRDefault="00630C1C">
            <w:pPr>
              <w:ind w:left="426" w:firstLine="141"/>
              <w:jc w:val="lef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Предмет «Математика» изучается с 1 по 4 класс. </w:t>
            </w:r>
          </w:p>
          <w:p w:rsidR="00630C1C" w:rsidRDefault="00630C1C">
            <w:pPr>
              <w:shd w:val="clear" w:color="auto" w:fill="FFFFFF"/>
              <w:spacing w:line="240" w:lineRule="atLeast"/>
              <w:ind w:left="0" w:firstLine="567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 4 </w:t>
            </w:r>
            <w:proofErr w:type="gramStart"/>
            <w:r>
              <w:rPr>
                <w:lang w:eastAsia="en-US"/>
              </w:rPr>
              <w:t>классе  из</w:t>
            </w:r>
            <w:proofErr w:type="gramEnd"/>
            <w:r>
              <w:rPr>
                <w:lang w:eastAsia="en-US"/>
              </w:rPr>
              <w:t xml:space="preserve"> учебного плана  выделяется 136ч. (4 часа в неделю). </w:t>
            </w: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4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класс:</w:t>
            </w:r>
            <w:r>
              <w:rPr>
                <w:rFonts w:eastAsia="Calibri"/>
                <w:spacing w:val="-2"/>
                <w:lang w:eastAsia="en-US"/>
              </w:rPr>
              <w:t xml:space="preserve"> 136 часов</w:t>
            </w:r>
          </w:p>
        </w:tc>
      </w:tr>
      <w:tr w:rsidR="00630C1C" w:rsidTr="00630C1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Краткая характеристика предмета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(курса)</w:t>
            </w: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Цели и задачи 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C" w:rsidRDefault="00630C1C">
            <w:pPr>
              <w:spacing w:line="240" w:lineRule="atLeast"/>
              <w:ind w:left="0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Предмет «Математика» является одним </w:t>
            </w:r>
            <w:proofErr w:type="gramStart"/>
            <w:r>
              <w:rPr>
                <w:rFonts w:eastAsia="Calibri"/>
                <w:lang w:eastAsia="en-US"/>
              </w:rPr>
              <w:t>из важнейших предметом</w:t>
            </w:r>
            <w:proofErr w:type="gramEnd"/>
            <w:r>
              <w:rPr>
                <w:rFonts w:eastAsia="Calibri"/>
                <w:lang w:eastAsia="en-US"/>
              </w:rPr>
              <w:t>, так как от его усвоения зависит успешность обучения учащихся с легкой степенью умственной отсталости (интеллектуальными нарушениями) на протяжении всех школьных лет, а в дальнейшем позволяет выпускникам школы максимально реализоваться в самостоятельной жизни, занять адекватное социальное положение в современном обществе.</w:t>
            </w:r>
          </w:p>
          <w:p w:rsidR="00630C1C" w:rsidRDefault="00630C1C">
            <w:pPr>
              <w:spacing w:line="240" w:lineRule="atLeast"/>
              <w:ind w:left="0" w:firstLine="567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357" w:firstLine="0"/>
              <w:rPr>
                <w:rFonts w:eastAsia="Calibri"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357" w:firstLine="0"/>
              <w:rPr>
                <w:rFonts w:eastAsia="Calibri"/>
                <w:lang w:eastAsia="en-US"/>
              </w:rPr>
            </w:pPr>
          </w:p>
          <w:p w:rsidR="00630C1C" w:rsidRDefault="00630C1C" w:rsidP="00630C1C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Целью изучения предмета является формирование основ знаний, умений и навыков о простейших математических выражениях, числовых равенствах и неравенствах, развитие коммуникативных умений и навыков при решении задач, овладение элементарными </w:t>
            </w:r>
            <w:proofErr w:type="gramStart"/>
            <w:r>
              <w:rPr>
                <w:rFonts w:eastAsia="Calibri"/>
                <w:lang w:eastAsia="en-US"/>
              </w:rPr>
              <w:t>знаниями  арифметических</w:t>
            </w:r>
            <w:proofErr w:type="gramEnd"/>
            <w:r>
              <w:rPr>
                <w:rFonts w:eastAsia="Calibri"/>
                <w:lang w:eastAsia="en-US"/>
              </w:rPr>
              <w:t xml:space="preserve"> действий, подготовка обучающихся </w:t>
            </w:r>
            <w:r>
              <w:rPr>
                <w:lang w:eastAsia="en-US"/>
              </w:rPr>
              <w:t>с умственной отсталостью (интеллектуальными нарушениями)</w:t>
            </w:r>
            <w:r>
              <w:rPr>
                <w:rFonts w:eastAsia="Calibri"/>
                <w:lang w:eastAsia="en-US"/>
              </w:rPr>
              <w:t xml:space="preserve"> к жизни в современном обществе и овладение доступными профессионально-трудовыми навыками.</w:t>
            </w:r>
          </w:p>
          <w:p w:rsidR="00630C1C" w:rsidRDefault="00630C1C">
            <w:pPr>
              <w:pStyle w:val="a4"/>
              <w:spacing w:line="240" w:lineRule="atLeast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Изучение предмета призвано решать </w:t>
            </w:r>
            <w:proofErr w:type="gramStart"/>
            <w:r>
              <w:rPr>
                <w:lang w:eastAsia="en-US"/>
              </w:rPr>
              <w:t xml:space="preserve">следующие  </w:t>
            </w:r>
            <w:r>
              <w:rPr>
                <w:b/>
                <w:lang w:eastAsia="en-US"/>
              </w:rPr>
              <w:t>задачи</w:t>
            </w:r>
            <w:proofErr w:type="gramEnd"/>
            <w:r>
              <w:rPr>
                <w:b/>
                <w:lang w:eastAsia="en-US"/>
              </w:rPr>
              <w:t>:</w:t>
            </w:r>
          </w:p>
          <w:p w:rsidR="00630C1C" w:rsidRDefault="00630C1C" w:rsidP="00600F43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14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доступных обучающимися с легкой степенью умственной отсталости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630C1C" w:rsidRDefault="00630C1C" w:rsidP="00600F43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14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коррекция и развитие познавательной деятельности и </w:t>
            </w:r>
            <w:proofErr w:type="gramStart"/>
            <w:r>
              <w:rPr>
                <w:rFonts w:eastAsia="Calibri"/>
                <w:bCs/>
                <w:lang w:eastAsia="en-US"/>
              </w:rPr>
              <w:t>личностных качеств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обучающихся с легкой степенью умственной отсталости (интеллектуальными нарушениями) средствами математики с учетом их индивидуальных возможностей;</w:t>
            </w:r>
          </w:p>
          <w:p w:rsidR="00630C1C" w:rsidRDefault="00630C1C" w:rsidP="00600F43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14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самоконтроль;</w:t>
            </w:r>
          </w:p>
          <w:p w:rsidR="00630C1C" w:rsidRDefault="00630C1C" w:rsidP="00600F43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14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интегрирование знаний, умений и навыков из различных разделов математики на других предметах.</w:t>
            </w:r>
          </w:p>
          <w:p w:rsidR="00630C1C" w:rsidRDefault="00630C1C" w:rsidP="00600F43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14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деятельности.</w:t>
            </w:r>
          </w:p>
          <w:p w:rsidR="00630C1C" w:rsidRDefault="00630C1C">
            <w:pPr>
              <w:spacing w:line="240" w:lineRule="atLeast"/>
              <w:ind w:left="0" w:firstLine="141"/>
              <w:rPr>
                <w:rFonts w:eastAsia="Calibri"/>
                <w:b/>
                <w:bCs/>
                <w:lang w:eastAsia="en-US"/>
              </w:rPr>
            </w:pPr>
          </w:p>
          <w:p w:rsidR="00630C1C" w:rsidRPr="00630C1C" w:rsidRDefault="00630C1C" w:rsidP="00630C1C">
            <w:pPr>
              <w:spacing w:line="240" w:lineRule="atLeast"/>
              <w:ind w:left="357" w:firstLine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Pr="00630C1C">
              <w:rPr>
                <w:rFonts w:eastAsia="Calibri"/>
                <w:bCs/>
                <w:lang w:eastAsia="en-US"/>
              </w:rPr>
              <w:t>уточнение и обогащение представлений о предмете посредством математических слов и выражений и овладение ЗУН 4 класса;</w:t>
            </w:r>
          </w:p>
          <w:p w:rsidR="00630C1C" w:rsidRDefault="00630C1C" w:rsidP="00600F4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14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формирование умения </w:t>
            </w:r>
            <w:proofErr w:type="gramStart"/>
            <w:r>
              <w:rPr>
                <w:rFonts w:eastAsia="Calibri"/>
                <w:bCs/>
                <w:lang w:eastAsia="en-US"/>
              </w:rPr>
              <w:t>выполнять  арифметические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действия с примерами и задачами в пределах 100 с переходом через разряд;</w:t>
            </w:r>
          </w:p>
          <w:p w:rsidR="00630C1C" w:rsidRDefault="00630C1C" w:rsidP="00600F4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14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развитие навыков устной коммуникации;</w:t>
            </w:r>
          </w:p>
          <w:p w:rsidR="00630C1C" w:rsidRDefault="00630C1C" w:rsidP="00600F4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14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коррекция недостатков речевой и мыслительной деятельности.</w:t>
            </w:r>
          </w:p>
        </w:tc>
      </w:tr>
      <w:tr w:rsidR="00630C1C" w:rsidTr="00630C1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Планируемые предметные результаты освоения учебного предмета "Математика".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tbl>
            <w:tblPr>
              <w:tblStyle w:val="a5"/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5401"/>
              <w:gridCol w:w="5401"/>
            </w:tblGrid>
            <w:tr w:rsidR="00630C1C"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C1C" w:rsidRDefault="00630C1C">
                  <w:pPr>
                    <w:ind w:left="0" w:firstLine="709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Минимальный:</w:t>
                  </w:r>
                </w:p>
                <w:p w:rsidR="00630C1C" w:rsidRDefault="00630C1C">
                  <w:pPr>
                    <w:ind w:left="0" w:firstLine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C1C" w:rsidRDefault="00630C1C">
                  <w:pPr>
                    <w:ind w:left="0" w:firstLine="709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Достаточный:</w:t>
                  </w:r>
                </w:p>
                <w:p w:rsidR="00630C1C" w:rsidRDefault="00630C1C">
                  <w:pPr>
                    <w:ind w:left="0" w:firstLine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630C1C"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читать и записывать числа в пределах 100, набирать числа в пределах 100 на калькуляторе;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сравнивать числа в пределах 100; знать знаки сравнения</w:t>
                  </w:r>
                  <w:proofErr w:type="gramStart"/>
                  <w:r>
                    <w:rPr>
                      <w:rFonts w:eastAsia="Calibri"/>
                      <w:lang w:eastAsia="en-US"/>
                    </w:rPr>
                    <w:t>: &gt;</w:t>
                  </w:r>
                  <w:proofErr w:type="gramEnd"/>
                  <w:r>
                    <w:rPr>
                      <w:rFonts w:eastAsia="Calibri"/>
                      <w:lang w:eastAsia="en-US"/>
                    </w:rPr>
                    <w:t>, &lt;, =;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различать двузначные и однозначные числа;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знать меры длины, массы, стоимости, времени;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знать дни недели;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записывать числа, выраженные одной единицей измерения;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различать числа, полученные при счете и измерении;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различать арифметические действия: сложение, вычитание, умножение, деление;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показывать указанные компоненты, результаты арифметических действий;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решать примеры на сложение и вычитание с переходом через разряд в пределах 100 (возможно использование микрокалькулятора);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решать примеры на умножение и деление с помощью таблиц;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выполнять умножение 0, на 0, деление 0;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решать простые текстовые арифметические задачи на нахождение суммы, разности, произведения, частного (части); записывать решение, ответ;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решать простые текстовые арифметические задачи на увеличение/уменьшение на несколько единиц, увеличение/уменьшение в несколько раз; записывать решение, ответ;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моделировать взаимное расположение фигур на плоскости: пересечение (без вычерчивания);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находить точку пересечения линий (отрезков);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различать замкнутые, незамкнутые кривые, ломаные линии;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называть и показывать изученные геометрические фигуры;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4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чертить отрезок заданной длины (одна единица измерения).</w:t>
                  </w:r>
                </w:p>
                <w:p w:rsidR="00630C1C" w:rsidRDefault="00630C1C">
                  <w:pPr>
                    <w:ind w:left="0" w:firstLine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читать и записывать числа в пределах 100, набирать числа в пределах 100 на калькуляторе;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выделять и указывать количество разрядных единиц в числе (единиц, десятков);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сравнивать числа в пределах 100; знать знаки сравнения</w:t>
                  </w:r>
                  <w:proofErr w:type="gramStart"/>
                  <w:r>
                    <w:rPr>
                      <w:rFonts w:eastAsia="Calibri"/>
                      <w:lang w:eastAsia="en-US"/>
                    </w:rPr>
                    <w:t>: &gt;</w:t>
                  </w:r>
                  <w:proofErr w:type="gramEnd"/>
                  <w:r>
                    <w:rPr>
                      <w:rFonts w:eastAsia="Calibri"/>
                      <w:lang w:eastAsia="en-US"/>
                    </w:rPr>
                    <w:t>, &lt;, =;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различать двузначные и однозначные числа;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знать меры длины, массы, стоимости, времени, их соотношения;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знать дни недели, месяцы; уметь пользоваться календарем;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записывать числа, выраженные двумя единицами измерения;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различать числа, полученные при счете и измерении;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различать арифметические действия: сложение, вычитание, умножение, деление;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называть и показывать компоненты, результаты арифметических действий;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решать примеры на сложение и вычитание с переходом через разряд в пределах 100;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решать примеры на умножение и деление с помощью таблиц;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выполнять умножение 0, 1, 10, умножение на 0, 1, 10, деление 0, деление на 1, 10;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решать простые текстовые арифметические задачи на нахождение суммы, разности, произведения, частного (части); записывать решение, ответ;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решать простые текстовые арифметические задачи на увеличение/уменьшение на несколько единиц, увеличение/уменьшение в несколько раз; записывать решение, ответ;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решать задачи на зависимость между стоимостью, ценой, количеством (все случаи);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моделировать взаимное расположение фигур на плоскости: пересечение;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находить точку пересечения линий (отрезков);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различать замкнутые, незамкнутые кривые, ломаные линии;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измерять, вычислять длину ломаной линии;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называть и показывать изученные геометрические фигуры;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чертить прямоугольник, квадрат по заданным размерам с помощью чертежного угольника (одна единица измерения);</w:t>
                  </w:r>
                </w:p>
                <w:p w:rsidR="00630C1C" w:rsidRDefault="00630C1C" w:rsidP="00600F43">
                  <w:pPr>
                    <w:pStyle w:val="a4"/>
                    <w:numPr>
                      <w:ilvl w:val="0"/>
                      <w:numId w:val="5"/>
                    </w:numPr>
                    <w:ind w:left="714" w:hanging="357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чертить отрезок заданной длины (две единицы измерения).</w:t>
                  </w:r>
                </w:p>
              </w:tc>
            </w:tr>
          </w:tbl>
          <w:p w:rsidR="00630C1C" w:rsidRDefault="00630C1C">
            <w:pPr>
              <w:spacing w:line="240" w:lineRule="atLeast"/>
              <w:ind w:left="0" w:firstLine="0"/>
              <w:jc w:val="center"/>
              <w:rPr>
                <w:rFonts w:eastAsiaTheme="minorEastAsia"/>
                <w:b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center"/>
              <w:rPr>
                <w:rFonts w:eastAsiaTheme="minorEastAsia"/>
                <w:b/>
                <w:lang w:eastAsia="en-US"/>
              </w:rPr>
            </w:pPr>
          </w:p>
          <w:p w:rsidR="00630C1C" w:rsidRDefault="00630C1C">
            <w:pPr>
              <w:spacing w:line="240" w:lineRule="atLeast"/>
              <w:ind w:left="0" w:firstLine="0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630C1C" w:rsidTr="00630C1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технологии,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используемые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обучении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Технологии: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уровневой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дифференциации;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педагогика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сотрудничества, игровые, </w:t>
            </w:r>
            <w:proofErr w:type="spellStart"/>
            <w:r>
              <w:rPr>
                <w:rFonts w:eastAsia="Calibri"/>
                <w:lang w:eastAsia="en-US"/>
              </w:rPr>
              <w:t>здоровьесберегающие</w:t>
            </w:r>
            <w:proofErr w:type="spellEnd"/>
            <w:r>
              <w:rPr>
                <w:rFonts w:eastAsia="Calibri"/>
                <w:lang w:eastAsia="en-US"/>
              </w:rPr>
              <w:t>, личностно-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ориентированные,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spacing w:val="-1"/>
                <w:lang w:eastAsia="en-US"/>
              </w:rPr>
              <w:t>информационно-коммуникативные,</w:t>
            </w: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нравственного</w:t>
            </w:r>
            <w:r>
              <w:rPr>
                <w:rFonts w:eastAsia="Calibri"/>
                <w:spacing w:val="-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воспитания</w:t>
            </w:r>
          </w:p>
        </w:tc>
      </w:tr>
      <w:tr w:rsidR="00630C1C" w:rsidTr="00630C1C">
        <w:trPr>
          <w:trHeight w:val="16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формы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lang w:eastAsia="en-US"/>
              </w:rPr>
              <w:t>словесные: рассказ, беседа, объяснение, инструктирование,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наглядные: наблюдение, демонстрация, иллюстрирование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практические: упражнения, практические работы, игры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фронтальные, индивидуальные, групповые,</w:t>
            </w:r>
            <w:r>
              <w:rPr>
                <w:rFonts w:eastAsia="Calibri"/>
                <w:spacing w:val="-5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коллективные занятия;</w:t>
            </w:r>
          </w:p>
          <w:p w:rsidR="00630C1C" w:rsidRPr="00630C1C" w:rsidRDefault="00630C1C" w:rsidP="00630C1C">
            <w:pPr>
              <w:shd w:val="clear" w:color="auto" w:fill="FFFFFF"/>
              <w:spacing w:line="240" w:lineRule="atLeast"/>
              <w:ind w:left="0" w:firstLine="316"/>
              <w:jc w:val="lef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комбинированные, тематические и комплексные типы уроков</w:t>
            </w:r>
            <w:r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внеурочные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занятия</w:t>
            </w:r>
            <w:r>
              <w:rPr>
                <w:color w:val="000000"/>
                <w:lang w:eastAsia="zh-CN"/>
              </w:rPr>
              <w:t xml:space="preserve">  </w:t>
            </w:r>
          </w:p>
        </w:tc>
      </w:tr>
      <w:tr w:rsidR="00630C1C" w:rsidTr="00630C1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Формы промежуточной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  <w:spacing w:val="56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представляет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собой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процедуру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определения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степени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соответствия</w:t>
            </w:r>
            <w:r>
              <w:rPr>
                <w:rFonts w:eastAsia="Calibri"/>
                <w:spacing w:val="-52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>образовательных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результатов,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продемонстрированных</w:t>
            </w: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обучающимися в текущем учебном году требованиям АООП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(1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вариант).</w:t>
            </w: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проведения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промежуточной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устанавливаются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до начала учебного года, отображаются в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учебном плане 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утверждаются на педагогическом совете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школы.</w:t>
            </w:r>
          </w:p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Контрольные работы</w:t>
            </w:r>
          </w:p>
        </w:tc>
      </w:tr>
      <w:tr w:rsidR="00630C1C" w:rsidTr="00630C1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обеспечена учебниками, включенными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приказ Министерства просвещения Российской Федерации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№254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«Об</w:t>
            </w:r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утверждении </w:t>
            </w:r>
            <w:hyperlink r:id="rId5" w:anchor="6540IN" w:history="1">
              <w:r>
                <w:rPr>
                  <w:rStyle w:val="a6"/>
                  <w:rFonts w:eastAsia="Calibri"/>
                  <w:lang w:eastAsia="en-US"/>
                </w:rPr>
                <w:t>федерального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6" w:anchor="6540IN" w:history="1">
              <w:r>
                <w:rPr>
                  <w:rStyle w:val="a6"/>
                  <w:rFonts w:eastAsia="Calibri"/>
                  <w:lang w:eastAsia="en-US"/>
                </w:rPr>
                <w:t>перечня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учебников,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допущенных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к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использованию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при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7" w:anchor="6540IN" w:history="1">
              <w:r>
                <w:rPr>
                  <w:rStyle w:val="a6"/>
                  <w:rFonts w:eastAsia="Calibri"/>
                  <w:lang w:eastAsia="en-US"/>
                </w:rPr>
                <w:t>реализации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имеющих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государственную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аккредитацию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8" w:anchor="6540IN" w:history="1">
              <w:r>
                <w:rPr>
                  <w:rStyle w:val="a6"/>
                  <w:rFonts w:eastAsia="Calibri"/>
                  <w:lang w:eastAsia="en-US"/>
                </w:rPr>
                <w:t>образовательных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программ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начального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общего,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основного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9" w:anchor="6540IN" w:history="1">
              <w:r>
                <w:rPr>
                  <w:rStyle w:val="a6"/>
                  <w:rFonts w:eastAsia="Calibri"/>
                  <w:lang w:eastAsia="en-US"/>
                </w:rPr>
                <w:t>общего,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среднего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общего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образования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организациями,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10" w:anchor="6540IN" w:history="1">
              <w:r>
                <w:rPr>
                  <w:rStyle w:val="a6"/>
                  <w:rFonts w:eastAsia="Calibri"/>
                  <w:lang w:eastAsia="en-US"/>
                </w:rPr>
                <w:t>осуществляющими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образовательную</w:t>
              </w:r>
              <w:r>
                <w:rPr>
                  <w:rStyle w:val="a6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6"/>
                  <w:rFonts w:eastAsia="Calibri"/>
                  <w:lang w:eastAsia="en-US"/>
                </w:rPr>
                <w:t>деятельность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(с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изменениями)</w:t>
            </w:r>
            <w:r>
              <w:rPr>
                <w:rFonts w:eastAsia="Calibri"/>
                <w:lang w:eastAsia="en-US" w:bidi="ru-RU"/>
              </w:rPr>
              <w:t xml:space="preserve"> </w:t>
            </w:r>
          </w:p>
          <w:p w:rsidR="00630C1C" w:rsidRDefault="00630C1C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4 класс – «Математика» в 2-х частях, 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И.М. Яковлева, М.,  </w:t>
            </w:r>
          </w:p>
          <w:p w:rsidR="00630C1C" w:rsidRDefault="00630C1C">
            <w:pPr>
              <w:ind w:left="0" w:firstLine="709"/>
              <w:rPr>
                <w:lang w:eastAsia="en-US" w:bidi="ru-RU"/>
              </w:rPr>
            </w:pPr>
            <w:r>
              <w:rPr>
                <w:lang w:eastAsia="en-US" w:bidi="ru-RU"/>
              </w:rPr>
              <w:t>«Просвещение»2018</w:t>
            </w:r>
          </w:p>
        </w:tc>
      </w:tr>
    </w:tbl>
    <w:p w:rsidR="00854BC8" w:rsidRDefault="00854BC8" w:rsidP="00630C1C">
      <w:pPr>
        <w:ind w:left="0" w:firstLine="0"/>
      </w:pPr>
      <w:bookmarkStart w:id="0" w:name="_GoBack"/>
      <w:bookmarkEnd w:id="0"/>
    </w:p>
    <w:sectPr w:rsidR="00854BC8" w:rsidSect="00630C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56C9"/>
    <w:multiLevelType w:val="hybridMultilevel"/>
    <w:tmpl w:val="560683E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3299"/>
    <w:multiLevelType w:val="hybridMultilevel"/>
    <w:tmpl w:val="AF803D4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25E"/>
    <w:multiLevelType w:val="hybridMultilevel"/>
    <w:tmpl w:val="FF9EE65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15A8"/>
    <w:multiLevelType w:val="hybridMultilevel"/>
    <w:tmpl w:val="1870CF0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D410C"/>
    <w:multiLevelType w:val="hybridMultilevel"/>
    <w:tmpl w:val="5C1ADCB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1C"/>
    <w:rsid w:val="00630C1C"/>
    <w:rsid w:val="0085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4F9C"/>
  <w15:chartTrackingRefBased/>
  <w15:docId w15:val="{6A380263-339B-4ADE-936D-1CBE120E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1C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C1C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630C1C"/>
    <w:pPr>
      <w:ind w:left="720"/>
      <w:contextualSpacing/>
    </w:pPr>
  </w:style>
  <w:style w:type="table" w:styleId="a5">
    <w:name w:val="Table Grid"/>
    <w:basedOn w:val="a1"/>
    <w:uiPriority w:val="59"/>
    <w:rsid w:val="00630C1C"/>
    <w:pPr>
      <w:spacing w:after="0" w:line="240" w:lineRule="auto"/>
      <w:ind w:left="714" w:hanging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630C1C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3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2023-09-12T02:08:00Z</dcterms:created>
  <dcterms:modified xsi:type="dcterms:W3CDTF">2023-09-12T02:10:00Z</dcterms:modified>
</cp:coreProperties>
</file>